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649C" w14:textId="77777777" w:rsidR="00352BFE" w:rsidRDefault="00352BFE" w:rsidP="00352BFE">
      <w:pPr>
        <w:pStyle w:val="2"/>
        <w:keepNext w:val="0"/>
        <w:widowControl w:val="0"/>
        <w:spacing w:beforeLines="0" w:before="0" w:afterLines="0" w:after="0" w:line="580" w:lineRule="exact"/>
        <w:rPr>
          <w:rFonts w:ascii="Times New Roman" w:eastAsia="黑体" w:hAnsi="Times New Roman"/>
          <w:b w:val="0"/>
          <w:bCs w:val="0"/>
          <w:color w:val="000000"/>
        </w:rPr>
      </w:pPr>
      <w:r>
        <w:rPr>
          <w:rFonts w:ascii="Times New Roman" w:eastAsia="黑体" w:hAnsi="Times New Roman"/>
          <w:b w:val="0"/>
          <w:bCs w:val="0"/>
          <w:spacing w:val="0"/>
          <w:lang w:bidi="ar"/>
        </w:rPr>
        <w:t>附件</w:t>
      </w:r>
      <w:r>
        <w:rPr>
          <w:rFonts w:ascii="Times New Roman" w:eastAsia="黑体" w:hAnsi="Times New Roman"/>
          <w:b w:val="0"/>
          <w:bCs w:val="0"/>
          <w:spacing w:val="0"/>
          <w:lang w:bidi="ar"/>
        </w:rPr>
        <w:t>2</w:t>
      </w:r>
    </w:p>
    <w:p w14:paraId="78A69DF1" w14:textId="77777777" w:rsidR="00352BFE" w:rsidRDefault="00352BFE" w:rsidP="00352BFE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B062E9F" w14:textId="77777777" w:rsidR="00352BFE" w:rsidRDefault="00352BFE" w:rsidP="00352BFE">
      <w:pPr>
        <w:jc w:val="center"/>
        <w:rPr>
          <w:rFonts w:ascii="Times New Roman" w:eastAsia="方正小标宋简体" w:hAnsi="Times New Roman" w:cs="Times New Roman"/>
          <w:spacing w:val="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spacing w:val="0"/>
          <w:kern w:val="0"/>
          <w:sz w:val="44"/>
          <w:szCs w:val="44"/>
          <w:lang w:bidi="ar"/>
        </w:rPr>
        <w:t>×</w:t>
      </w:r>
      <w:r>
        <w:rPr>
          <w:rFonts w:ascii="Times New Roman" w:eastAsia="方正小标宋简体" w:hAnsi="Times New Roman" w:cs="Times New Roman"/>
          <w:spacing w:val="0"/>
          <w:kern w:val="0"/>
          <w:sz w:val="44"/>
          <w:szCs w:val="44"/>
          <w:lang w:bidi="ar"/>
        </w:rPr>
        <w:t>市</w:t>
      </w:r>
      <w:r>
        <w:rPr>
          <w:rFonts w:ascii="Times New Roman" w:eastAsia="方正小标宋简体" w:hAnsi="Times New Roman" w:cs="Times New Roman"/>
          <w:spacing w:val="0"/>
          <w:kern w:val="0"/>
          <w:sz w:val="44"/>
          <w:szCs w:val="44"/>
          <w:lang w:bidi="ar"/>
        </w:rPr>
        <w:t>×</w:t>
      </w:r>
      <w:r>
        <w:rPr>
          <w:rFonts w:ascii="Times New Roman" w:eastAsia="方正小标宋简体" w:hAnsi="Times New Roman" w:cs="Times New Roman"/>
          <w:spacing w:val="0"/>
          <w:kern w:val="0"/>
          <w:sz w:val="44"/>
          <w:szCs w:val="44"/>
          <w:lang w:bidi="ar"/>
        </w:rPr>
        <w:t>号线正式运营前安全评估报告</w:t>
      </w:r>
    </w:p>
    <w:p w14:paraId="27375E35" w14:textId="77777777" w:rsidR="00352BFE" w:rsidRDefault="00352BFE" w:rsidP="00352BFE">
      <w:pPr>
        <w:spacing w:line="580" w:lineRule="exact"/>
        <w:jc w:val="center"/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（第三方安全评估机构名称）（盖章）</w:t>
      </w:r>
    </w:p>
    <w:p w14:paraId="1225E5EF" w14:textId="77777777" w:rsidR="00352BFE" w:rsidRDefault="00352BFE" w:rsidP="00352BFE">
      <w:pPr>
        <w:spacing w:line="580" w:lineRule="exact"/>
        <w:ind w:firstLineChars="200" w:firstLine="504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52F2AAA9" w14:textId="77777777" w:rsidR="00352BFE" w:rsidRDefault="00352BFE" w:rsidP="00352BFE">
      <w:pPr>
        <w:spacing w:beforeLines="50" w:before="156" w:line="580" w:lineRule="exact"/>
        <w:ind w:firstLineChars="200" w:firstLine="640"/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一、评估工作基本情况</w:t>
      </w:r>
    </w:p>
    <w:p w14:paraId="4289EF02" w14:textId="77777777" w:rsidR="00352BFE" w:rsidRDefault="00352BFE" w:rsidP="00352BF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评估人员组成、评估方式、评估内容等。</w:t>
      </w:r>
    </w:p>
    <w:p w14:paraId="40A302DB" w14:textId="77777777" w:rsidR="00352BFE" w:rsidRDefault="00352BFE" w:rsidP="00352BFE">
      <w:pPr>
        <w:spacing w:beforeLines="50" w:before="156" w:line="580" w:lineRule="exact"/>
        <w:ind w:firstLineChars="200" w:firstLine="640"/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二、</w:t>
      </w:r>
      <w:r>
        <w:rPr>
          <w:rFonts w:ascii="Times New Roman" w:eastAsia="黑体" w:hAnsi="Times New Roman" w:cs="Times New Roman" w:hint="eastAsia"/>
          <w:spacing w:val="0"/>
          <w:kern w:val="0"/>
          <w:sz w:val="32"/>
          <w:szCs w:val="32"/>
          <w:lang w:bidi="ar"/>
        </w:rPr>
        <w:t>运营</w:t>
      </w: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线路概况</w:t>
      </w:r>
    </w:p>
    <w:p w14:paraId="48B17150" w14:textId="77777777" w:rsidR="00352BFE" w:rsidRDefault="00352BFE" w:rsidP="00352BFE">
      <w:pPr>
        <w:spacing w:line="580" w:lineRule="exact"/>
        <w:ind w:firstLineChars="200" w:firstLine="640"/>
        <w:rPr>
          <w:rFonts w:ascii="Times New Roman" w:eastAsia="仿宋_GB2312" w:hAnsi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线路走向、里程、敷设方式、车站及车辆基地、变电所、控制中心等基本情况，设施设备配置、选型等情况（</w:t>
      </w:r>
      <w:proofErr w:type="gramStart"/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含主要</w:t>
      </w:r>
      <w:proofErr w:type="gramEnd"/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技术参数），安全应急设施规划布局情况，与城市轨道交通线网及其他交通方式的配套衔接情况，出入口数量、站台面积、通道宽度、换乘条件、站</w:t>
      </w:r>
      <w:r>
        <w:rPr>
          <w:rFonts w:ascii="Times New Roman" w:eastAsia="仿宋_GB2312" w:hAnsi="Times New Roman"/>
          <w:spacing w:val="0"/>
          <w:kern w:val="0"/>
          <w:sz w:val="32"/>
          <w:szCs w:val="32"/>
          <w:lang w:bidi="ar"/>
        </w:rPr>
        <w:t>厅容纳能力等车站布局情况</w:t>
      </w:r>
      <w:r>
        <w:rPr>
          <w:rFonts w:ascii="Times New Roman" w:eastAsia="仿宋_GB2312" w:hAnsi="Times New Roman" w:hint="eastAsia"/>
          <w:spacing w:val="0"/>
          <w:kern w:val="0"/>
          <w:sz w:val="32"/>
          <w:szCs w:val="32"/>
          <w:lang w:bidi="ar"/>
        </w:rPr>
        <w:t>，甩项工程完工和履行设计变更等情况</w:t>
      </w:r>
      <w:r>
        <w:rPr>
          <w:rFonts w:ascii="Times New Roman" w:eastAsia="仿宋_GB2312" w:hAnsi="Times New Roman"/>
          <w:spacing w:val="0"/>
          <w:kern w:val="0"/>
          <w:sz w:val="32"/>
          <w:szCs w:val="32"/>
          <w:lang w:bidi="ar"/>
        </w:rPr>
        <w:t>。</w:t>
      </w:r>
    </w:p>
    <w:p w14:paraId="5A54D72A" w14:textId="77777777" w:rsidR="00352BFE" w:rsidRDefault="00352BFE" w:rsidP="00352BFE">
      <w:pPr>
        <w:spacing w:beforeLines="50" w:before="156" w:line="580" w:lineRule="exact"/>
        <w:ind w:firstLineChars="200" w:firstLine="640"/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三、行车组织</w:t>
      </w:r>
    </w:p>
    <w:p w14:paraId="03CF3C94" w14:textId="77777777" w:rsidR="00352BFE" w:rsidRDefault="00352BFE" w:rsidP="00352BF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包括运力运量不匹配风险、行车指挥接口风险、错误调度命令风险、正常行车作业风险、非正常行车作业风险、应急行车作业风险、车辆基地行车作业风险、调车作业风险、</w:t>
      </w:r>
      <w:proofErr w:type="gramStart"/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试车线</w:t>
      </w:r>
      <w:proofErr w:type="gramEnd"/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作业风险、施工行车作业风险、施工行车安全防护风险等管控措施落实情况。</w:t>
      </w:r>
    </w:p>
    <w:p w14:paraId="4053B6D5" w14:textId="77777777" w:rsidR="00352BFE" w:rsidRDefault="00352BFE" w:rsidP="00352BFE">
      <w:pPr>
        <w:spacing w:beforeLines="50" w:before="156" w:line="580" w:lineRule="exact"/>
        <w:ind w:firstLineChars="200" w:firstLine="640"/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四、客运组织</w:t>
      </w:r>
    </w:p>
    <w:p w14:paraId="6699E4A4" w14:textId="77777777" w:rsidR="00352BFE" w:rsidRDefault="00352BFE" w:rsidP="00352BF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包括客流交织风险、车站环境风险、换乘站接口风险、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lastRenderedPageBreak/>
        <w:t>大客流冲击风险、设备故障客运组织风险、突发事件客运组织风险、施工作业客运组织风险等管控措施落实情况。</w:t>
      </w:r>
    </w:p>
    <w:p w14:paraId="38E54A8F" w14:textId="77777777" w:rsidR="00352BFE" w:rsidRDefault="00352BFE" w:rsidP="00352BFE">
      <w:pPr>
        <w:spacing w:beforeLines="50" w:before="156" w:line="580" w:lineRule="exact"/>
        <w:ind w:firstLineChars="200" w:firstLine="640"/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五、设施设备运行维护</w:t>
      </w:r>
    </w:p>
    <w:p w14:paraId="4F6A27C4" w14:textId="77777777" w:rsidR="00352BFE" w:rsidRDefault="00352BFE" w:rsidP="00352BF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包括土建设施、车辆、供电系统、通信系统、信号系统、机电系统等风险管控措施落实情况。</w:t>
      </w:r>
    </w:p>
    <w:p w14:paraId="36845F8C" w14:textId="77777777" w:rsidR="00352BFE" w:rsidRDefault="00352BFE" w:rsidP="00352BFE">
      <w:pPr>
        <w:spacing w:beforeLines="50" w:before="156" w:line="580" w:lineRule="exact"/>
        <w:ind w:firstLineChars="200" w:firstLine="640"/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六、人员管理</w:t>
      </w:r>
    </w:p>
    <w:p w14:paraId="0F52536E" w14:textId="77777777" w:rsidR="00352BFE" w:rsidRDefault="00352BFE" w:rsidP="00352BF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包括继续教育、新增、转岗、复岗的教育培训以及培训内容</w:t>
      </w:r>
      <w:r>
        <w:rPr>
          <w:rFonts w:ascii="Times New Roman" w:eastAsia="仿宋_GB2312" w:hAnsi="Times New Roman" w:cs="Times New Roman" w:hint="eastAsia"/>
          <w:spacing w:val="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_GB2312" w:hAnsi="Times New Roman" w:cs="Times New Roman" w:hint="eastAsia"/>
          <w:spacing w:val="0"/>
          <w:kern w:val="0"/>
          <w:sz w:val="32"/>
          <w:szCs w:val="32"/>
          <w:lang w:bidi="ar"/>
        </w:rPr>
        <w:t>以及委</w:t>
      </w:r>
      <w:proofErr w:type="gramEnd"/>
      <w:r>
        <w:rPr>
          <w:rFonts w:ascii="Times New Roman" w:eastAsia="仿宋_GB2312" w:hAnsi="Times New Roman" w:cs="Times New Roman" w:hint="eastAsia"/>
          <w:spacing w:val="0"/>
          <w:kern w:val="0"/>
          <w:sz w:val="32"/>
          <w:szCs w:val="32"/>
          <w:lang w:bidi="ar"/>
        </w:rPr>
        <w:t>外单位人员管理情况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。</w:t>
      </w:r>
    </w:p>
    <w:p w14:paraId="64576712" w14:textId="77777777" w:rsidR="00352BFE" w:rsidRDefault="00352BFE" w:rsidP="00352BFE">
      <w:pPr>
        <w:spacing w:beforeLines="50" w:before="156" w:line="580" w:lineRule="exact"/>
        <w:ind w:firstLineChars="200" w:firstLine="640"/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七、应急管理</w:t>
      </w:r>
    </w:p>
    <w:p w14:paraId="0819FBA7" w14:textId="77777777" w:rsidR="00352BFE" w:rsidRDefault="00352BFE" w:rsidP="00352BF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包括应急机制、应急预案、应急演练、应急保障、险性事件、警示教育等。</w:t>
      </w:r>
    </w:p>
    <w:p w14:paraId="67D7EE89" w14:textId="77777777" w:rsidR="00352BFE" w:rsidRDefault="00352BFE" w:rsidP="00352BFE">
      <w:pPr>
        <w:spacing w:beforeLines="50" w:before="156" w:line="580" w:lineRule="exact"/>
        <w:ind w:firstLineChars="200" w:firstLine="640"/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八、运营安全评估意见</w:t>
      </w:r>
    </w:p>
    <w:p w14:paraId="61E6F8CD" w14:textId="77777777" w:rsidR="00352BFE" w:rsidRDefault="00352BFE" w:rsidP="00352BF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明确是否具备</w:t>
      </w:r>
      <w:proofErr w:type="gramStart"/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开通正式</w:t>
      </w:r>
      <w:proofErr w:type="gramEnd"/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运营的意见以及整改要求、期限与建议措施。</w:t>
      </w:r>
    </w:p>
    <w:p w14:paraId="74E3B40D" w14:textId="77777777" w:rsidR="00352BFE" w:rsidRDefault="00352BFE" w:rsidP="00352BFE">
      <w:pPr>
        <w:spacing w:beforeLines="50" w:before="156" w:line="580" w:lineRule="exact"/>
        <w:ind w:firstLineChars="200" w:firstLine="640"/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pacing w:val="0"/>
          <w:kern w:val="0"/>
          <w:sz w:val="32"/>
          <w:szCs w:val="32"/>
          <w:lang w:bidi="ar"/>
        </w:rPr>
        <w:t>九、其他意见建议</w:t>
      </w:r>
    </w:p>
    <w:p w14:paraId="5E7F3FEC" w14:textId="77777777" w:rsidR="00352BFE" w:rsidRDefault="00352BFE" w:rsidP="00352BFE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2C41B79" w14:textId="77777777" w:rsidR="00352BFE" w:rsidRDefault="00352BFE" w:rsidP="00352BFE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85EC986" w14:textId="77777777" w:rsidR="00352BFE" w:rsidRDefault="00352BFE" w:rsidP="00352BF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×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市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×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号线正式运营前安全评估组成员（签字）：</w:t>
      </w:r>
    </w:p>
    <w:p w14:paraId="7765E7FA" w14:textId="77777777" w:rsidR="00352BFE" w:rsidRDefault="00352BFE" w:rsidP="00352BFE">
      <w:pPr>
        <w:spacing w:line="58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B815AE8" w14:textId="77777777" w:rsidR="00352BFE" w:rsidRDefault="00352BFE" w:rsidP="00352BFE">
      <w:pPr>
        <w:spacing w:line="58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C893E23" w14:textId="77777777" w:rsidR="00352BFE" w:rsidRDefault="00352BFE" w:rsidP="00352BFE">
      <w:pPr>
        <w:wordWrap w:val="0"/>
        <w:spacing w:line="580" w:lineRule="exact"/>
        <w:jc w:val="righ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××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××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××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>日</w:t>
      </w:r>
      <w:r>
        <w:rPr>
          <w:rFonts w:ascii="Times New Roman" w:eastAsia="仿宋_GB2312" w:hAnsi="Times New Roman" w:cs="Times New Roman"/>
          <w:spacing w:val="0"/>
          <w:kern w:val="0"/>
          <w:sz w:val="32"/>
          <w:szCs w:val="32"/>
          <w:lang w:bidi="ar"/>
        </w:rPr>
        <w:t xml:space="preserve"> </w:t>
      </w:r>
    </w:p>
    <w:p w14:paraId="4270DC48" w14:textId="78CC64A7" w:rsidR="00DF64D4" w:rsidRDefault="00DF64D4" w:rsidP="00352BFE">
      <w:pPr>
        <w:jc w:val="left"/>
      </w:pPr>
    </w:p>
    <w:sectPr w:rsidR="00DF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0C"/>
    <w:rsid w:val="00086B88"/>
    <w:rsid w:val="00352BFE"/>
    <w:rsid w:val="00C53CAD"/>
    <w:rsid w:val="00C97CE5"/>
    <w:rsid w:val="00CC000C"/>
    <w:rsid w:val="00D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883E"/>
  <w15:chartTrackingRefBased/>
  <w15:docId w15:val="{7DBBC2D9-832A-46DA-98F7-DDAF1B43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00C"/>
    <w:pPr>
      <w:widowControl w:val="0"/>
      <w:jc w:val="both"/>
    </w:pPr>
    <w:rPr>
      <w:rFonts w:ascii="Calibri" w:eastAsia="宋体" w:hAnsi="Calibri" w:cs="黑体"/>
      <w:spacing w:val="-34"/>
      <w:sz w:val="36"/>
      <w:szCs w:val="36"/>
    </w:rPr>
  </w:style>
  <w:style w:type="paragraph" w:styleId="2">
    <w:name w:val="heading 2"/>
    <w:basedOn w:val="a"/>
    <w:next w:val="a"/>
    <w:link w:val="20"/>
    <w:qFormat/>
    <w:rsid w:val="00352BFE"/>
    <w:pPr>
      <w:keepNext/>
      <w:widowControl/>
      <w:tabs>
        <w:tab w:val="left" w:pos="142"/>
      </w:tabs>
      <w:spacing w:beforeLines="50" w:before="156" w:afterLines="50" w:after="156" w:line="360" w:lineRule="auto"/>
      <w:jc w:val="left"/>
      <w:outlineLvl w:val="1"/>
    </w:pPr>
    <w:rPr>
      <w:rFonts w:ascii="Century Gothic" w:eastAsia="楷体_GB2312" w:hAnsi="Century Gothic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52BFE"/>
    <w:rPr>
      <w:rFonts w:ascii="Century Gothic" w:eastAsia="楷体_GB2312" w:hAnsi="Century Gothic" w:cs="Times New Roman"/>
      <w:b/>
      <w:bCs/>
      <w:spacing w:val="-3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刘欣欣</dc:creator>
  <cp:keywords/>
  <dc:description/>
  <cp:lastModifiedBy>刘欣欣</cp:lastModifiedBy>
  <cp:revision>3</cp:revision>
  <dcterms:created xsi:type="dcterms:W3CDTF">2023-08-26T00:46:00Z</dcterms:created>
  <dcterms:modified xsi:type="dcterms:W3CDTF">2023-08-26T00:46:00Z</dcterms:modified>
</cp:coreProperties>
</file>