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微软雅黑" w:cs="宋体" w:eastAsia="微软雅黑" w:hAnsi="微软雅黑"/>
          <w:b/>
          <w:color w:val="000000"/>
          <w:kern w:val="0"/>
          <w:sz w:val="24"/>
        </w:rPr>
      </w:pPr>
      <w:r>
        <w:rPr>
          <w:rFonts w:ascii="微软雅黑" w:cs="宋体" w:eastAsia="微软雅黑" w:hAnsi="微软雅黑" w:hint="eastAsia"/>
          <w:b/>
          <w:color w:val="000000"/>
          <w:kern w:val="0"/>
          <w:sz w:val="24"/>
        </w:rPr>
        <w:t>附件二</w:t>
      </w:r>
    </w:p>
    <w:tbl>
      <w:tblPr>
        <w:tblpPr w:leftFromText="180" w:rightFromText="180" w:topFromText="0" w:bottomFromText="0" w:horzAnchor="margin" w:tblpXSpec="left" w:tblpY="628"/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64"/>
        <w:gridCol w:w="457"/>
        <w:gridCol w:w="1196"/>
        <w:gridCol w:w="1168"/>
        <w:gridCol w:w="1347"/>
        <w:gridCol w:w="1414"/>
        <w:gridCol w:w="2466"/>
      </w:tblGrid>
      <w:tr>
        <w:trPr>
          <w:trHeight w:val="20" w:hRule="atLeast"/>
        </w:trPr>
        <w:tc>
          <w:tcPr>
            <w:tcW w:w="5000" w:type="pct"/>
            <w:gridSpan w:val="8"/>
            <w:tcBorders/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cs="宋体" w:eastAsia="微软雅黑" w:hAnsi="微软雅黑" w:hint="eastAsia"/>
                <w:b/>
                <w:color w:val="000000"/>
                <w:kern w:val="0"/>
                <w:sz w:val="28"/>
                <w:szCs w:val="28"/>
              </w:rPr>
              <w:t>北京市普通公路清扫保洁</w:t>
            </w:r>
            <w:r>
              <w:rPr>
                <w:rFonts w:ascii="微软雅黑" w:cs="宋体" w:eastAsia="微软雅黑" w:hAnsi="微软雅黑" w:hint="eastAsia"/>
                <w:b/>
                <w:color w:val="000000"/>
                <w:kern w:val="0"/>
                <w:sz w:val="28"/>
                <w:szCs w:val="28"/>
              </w:rPr>
              <w:t>费用</w:t>
            </w:r>
            <w:r>
              <w:rPr>
                <w:rFonts w:ascii="微软雅黑" w:cs="宋体" w:eastAsia="微软雅黑" w:hAnsi="微软雅黑" w:hint="eastAsia"/>
                <w:b/>
                <w:color w:val="000000"/>
                <w:kern w:val="0"/>
                <w:sz w:val="28"/>
                <w:szCs w:val="28"/>
              </w:rPr>
              <w:t>初步</w:t>
            </w:r>
            <w:r>
              <w:rPr>
                <w:rFonts w:ascii="微软雅黑" w:cs="宋体" w:eastAsia="微软雅黑" w:hAnsi="微软雅黑" w:hint="eastAsia"/>
                <w:b/>
                <w:color w:val="000000"/>
                <w:kern w:val="0"/>
                <w:sz w:val="28"/>
                <w:szCs w:val="28"/>
              </w:rPr>
              <w:t>测算单价</w:t>
            </w:r>
            <w:bookmarkStart w:id="0" w:name="_GoBack"/>
            <w:bookmarkEnd w:id="0"/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3" w:type="pct"/>
            <w:gridSpan w:val="3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路线分类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划分（界定）标准</w:t>
            </w: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路面单价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Cs w:val="21"/>
              </w:rPr>
              <w:t>（元/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Cs w:val="21"/>
              </w:rPr>
              <w:t>.年）</w:t>
            </w:r>
          </w:p>
        </w:tc>
        <w:tc>
          <w:tcPr>
            <w:tcW w:w="77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步道单价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Cs w:val="21"/>
              </w:rPr>
              <w:t>（元/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Cs w:val="21"/>
              </w:rPr>
              <w:t>.年）</w:t>
            </w:r>
          </w:p>
        </w:tc>
        <w:tc>
          <w:tcPr>
            <w:tcW w:w="1355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作业频次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穿城区公路段</w:t>
            </w:r>
          </w:p>
        </w:tc>
        <w:tc>
          <w:tcPr>
            <w:tcW w:w="251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657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穿主城区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核心公路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穿越各区核心区重点公路</w:t>
            </w: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10.44</w:t>
            </w:r>
          </w:p>
        </w:tc>
        <w:tc>
          <w:tcPr>
            <w:tcW w:w="77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8.43</w:t>
            </w:r>
          </w:p>
        </w:tc>
        <w:tc>
          <w:tcPr>
            <w:tcW w:w="1355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1.主路、辅路路面</w:t>
            </w:r>
          </w:p>
          <w:p>
            <w:pPr>
              <w:pStyle w:val="style0"/>
              <w:widowControl/>
              <w:spacing w:lineRule="exact" w:line="320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机械清扫保洁：2次/天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机械冲刷：2次/天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（夏）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(天数)（210,230）</w:t>
            </w:r>
          </w:p>
          <w:p>
            <w:pPr>
              <w:pStyle w:val="style0"/>
              <w:widowControl/>
              <w:spacing w:lineRule="exact" w:line="320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（明确计算公式）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2.步道及机械未能作业的部分</w:t>
            </w:r>
          </w:p>
          <w:p>
            <w:pPr>
              <w:pStyle w:val="style0"/>
              <w:widowControl/>
              <w:spacing w:lineRule="exact" w:line="320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人工清扫：1次/天</w:t>
            </w:r>
          </w:p>
          <w:p>
            <w:pPr>
              <w:pStyle w:val="style0"/>
              <w:widowControl/>
              <w:spacing w:lineRule="exact" w:line="320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人工捡拾：4次/天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联结重点公路的必要公路</w:t>
            </w: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10.44</w:t>
            </w:r>
          </w:p>
        </w:tc>
        <w:tc>
          <w:tcPr>
            <w:tcW w:w="77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8.43</w:t>
            </w:r>
          </w:p>
        </w:tc>
        <w:tc>
          <w:tcPr>
            <w:tcW w:w="13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穿主城区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公路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穿越各区主城区范围内公路，以规划主城区范围为准</w:t>
            </w: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5.22</w:t>
            </w:r>
          </w:p>
        </w:tc>
        <w:tc>
          <w:tcPr>
            <w:tcW w:w="77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6.63</w:t>
            </w:r>
          </w:p>
        </w:tc>
        <w:tc>
          <w:tcPr>
            <w:tcW w:w="1355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1.主路、辅路路面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机械清扫保洁：1次/天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机械冲刷：1次/天（夏）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2.步道及机械未能作业的部分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人工清扫：1次/天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人工捡拾：2次/天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非穿城区公路段</w:t>
            </w:r>
          </w:p>
        </w:tc>
        <w:tc>
          <w:tcPr>
            <w:tcW w:w="251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国道及（平原）市道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行政等级及道路设计标准确定</w:t>
            </w: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2.03</w:t>
            </w:r>
          </w:p>
        </w:tc>
        <w:tc>
          <w:tcPr>
            <w:tcW w:w="77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4.83</w:t>
            </w:r>
          </w:p>
        </w:tc>
        <w:tc>
          <w:tcPr>
            <w:tcW w:w="1355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1.机械清扫保洁：1次/天</w:t>
            </w:r>
          </w:p>
          <w:p>
            <w:pPr>
              <w:pStyle w:val="style0"/>
              <w:widowControl/>
              <w:spacing w:lineRule="exact" w:line="320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2.步道及机械未能作业的部分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人工清扫：1次/天</w:t>
            </w:r>
          </w:p>
        </w:tc>
      </w:tr>
      <w:tr>
        <w:tblPrEx/>
        <w:trPr>
          <w:trHeight w:val="1134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旅游路线（旺季）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联结旅游景区的主要公路</w:t>
            </w: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2.03</w:t>
            </w:r>
          </w:p>
        </w:tc>
        <w:tc>
          <w:tcPr>
            <w:tcW w:w="77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4.83</w:t>
            </w:r>
          </w:p>
        </w:tc>
        <w:tc>
          <w:tcPr>
            <w:tcW w:w="13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1442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四类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（山区）市道及县道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按道路设计标准确定</w:t>
            </w: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0.68</w:t>
            </w:r>
          </w:p>
        </w:tc>
        <w:tc>
          <w:tcPr>
            <w:tcW w:w="77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1.61</w:t>
            </w:r>
          </w:p>
        </w:tc>
        <w:tc>
          <w:tcPr>
            <w:tcW w:w="1355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left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1.机械清扫保洁：1次/3天</w:t>
            </w:r>
          </w:p>
          <w:p>
            <w:pPr>
              <w:pStyle w:val="style0"/>
              <w:widowControl/>
              <w:spacing w:lineRule="exact" w:line="320"/>
              <w:jc w:val="left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2.步道及机械未能作业的部分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人工清扫：1次/3天</w:t>
            </w:r>
          </w:p>
        </w:tc>
      </w:tr>
      <w:tr>
        <w:tblPrEx/>
        <w:trPr>
          <w:trHeight w:val="1433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旅游路线（淡季）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联结旅游景区的主要公路</w:t>
            </w: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0.68</w:t>
            </w:r>
          </w:p>
        </w:tc>
        <w:tc>
          <w:tcPr>
            <w:tcW w:w="77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1.61</w:t>
            </w:r>
          </w:p>
        </w:tc>
        <w:tc>
          <w:tcPr>
            <w:tcW w:w="13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专项</w:t>
            </w: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天桥及通道保洁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171.73</w:t>
            </w:r>
          </w:p>
        </w:tc>
        <w:tc>
          <w:tcPr>
            <w:tcW w:w="776" w:type="pct"/>
            <w:tcBorders/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left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人工清扫：2次/天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台阶地面保洁：1次/周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通道口、内外立面及护栏擦拭（洗）：1次/2天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停车港湾、路侧休息区保洁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tcBorders/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left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人工清扫：1次/天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果皮箱清掏：1次/天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果皮箱清洗：1次/天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br/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果皮箱内胆清洗：1次/周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临时重大活动保障路线保洁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10.44</w:t>
            </w:r>
          </w:p>
        </w:tc>
        <w:tc>
          <w:tcPr>
            <w:tcW w:w="776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8.43</w:t>
            </w: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同一类，按1个月考虑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" w:type="pct"/>
            <w:vMerge w:val="restar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单项测算</w:t>
            </w: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机械清扫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2.03</w:t>
            </w:r>
          </w:p>
        </w:tc>
        <w:tc>
          <w:tcPr>
            <w:tcW w:w="776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Cs w:val="21"/>
              </w:rPr>
              <w:t>（元/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微软雅黑" w:cs="宋体" w:eastAsia="微软雅黑" w:hAnsi="微软雅黑" w:hint="eastAsia"/>
                <w:color w:val="000000"/>
                <w:kern w:val="0"/>
                <w:szCs w:val="21"/>
              </w:rPr>
              <w:t>.年）</w:t>
            </w: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1次/天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机械冲刷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3.19</w:t>
            </w:r>
          </w:p>
        </w:tc>
        <w:tc>
          <w:tcPr>
            <w:tcW w:w="776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1次/天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人工清扫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4.83</w:t>
            </w:r>
          </w:p>
        </w:tc>
        <w:tc>
          <w:tcPr>
            <w:tcW w:w="776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1次/天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人工捡拾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0.9</w:t>
            </w:r>
          </w:p>
        </w:tc>
        <w:tc>
          <w:tcPr>
            <w:tcW w:w="776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1次/天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机械洒水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0.81</w:t>
            </w:r>
          </w:p>
        </w:tc>
        <w:tc>
          <w:tcPr>
            <w:tcW w:w="776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1次/天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机械降尘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0.71</w:t>
            </w:r>
          </w:p>
        </w:tc>
        <w:tc>
          <w:tcPr>
            <w:tcW w:w="776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1次/天</w:t>
            </w:r>
          </w:p>
        </w:tc>
      </w:tr>
      <w:tr>
        <w:tblPrEx/>
        <w:trPr>
          <w:trHeight w:val="20" w:hRule="atLeast"/>
        </w:trPr>
        <w:tc>
          <w:tcPr>
            <w:tcW w:w="323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" w:type="pct"/>
            <w:vMerge w:val="continue"/>
            <w:tcBorders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251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7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步道冲刷</w:t>
            </w:r>
          </w:p>
        </w:tc>
        <w:tc>
          <w:tcPr>
            <w:tcW w:w="642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740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1.61</w:t>
            </w:r>
          </w:p>
        </w:tc>
        <w:tc>
          <w:tcPr>
            <w:tcW w:w="776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</w:p>
        </w:tc>
        <w:tc>
          <w:tcPr>
            <w:tcW w:w="1354" w:type="pct"/>
            <w:tcBorders/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color w:val="000000"/>
                <w:kern w:val="0"/>
                <w:sz w:val="24"/>
              </w:rPr>
              <w:t>1次/周</w:t>
            </w:r>
          </w:p>
        </w:tc>
      </w:tr>
    </w:tbl>
    <w:p>
      <w:pPr>
        <w:pStyle w:val="style0"/>
        <w:rPr>
          <w:rFonts w:ascii="微软雅黑" w:cs="宋体" w:eastAsia="微软雅黑" w:hAnsi="微软雅黑"/>
          <w:b/>
          <w:color w:val="000000"/>
          <w:kern w:val="0"/>
          <w:sz w:val="24"/>
        </w:rPr>
      </w:pPr>
    </w:p>
    <w:sectPr>
      <w:pgSz w:w="11906" w:h="16838" w:orient="portrait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uiPriority w:val="9"/>
    <w:rPr>
      <w:b/>
      <w:bCs/>
      <w:kern w:val="44"/>
      <w:sz w:val="44"/>
      <w:szCs w:val="4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672</Words>
  <Characters>765</Characters>
  <Application>WPS Office</Application>
  <DocSecurity>0</DocSecurity>
  <Paragraphs>170</Paragraphs>
  <ScaleCrop>false</ScaleCrop>
  <Company>CHINA</Company>
  <LinksUpToDate>false</LinksUpToDate>
  <CharactersWithSpaces>779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2018-10-08T03:32:00Z</dcterms:created>
  <dc:creator>李建国</dc:creator>
  <lastModifiedBy>MI MAX 2</lastModifiedBy>
  <dcterms:modified xsi:type="dcterms:W3CDTF">2018-10-22T04:49:05Z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